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A68A" w14:textId="77777777" w:rsidR="00623EF2" w:rsidRPr="004A7D49" w:rsidRDefault="00623EF2" w:rsidP="00245B57">
      <w:pPr>
        <w:tabs>
          <w:tab w:val="left" w:pos="2160"/>
          <w:tab w:val="left" w:pos="3600"/>
        </w:tabs>
        <w:autoSpaceDE w:val="0"/>
        <w:autoSpaceDN w:val="0"/>
        <w:adjustRightInd w:val="0"/>
        <w:spacing w:after="0" w:line="240" w:lineRule="auto"/>
        <w:jc w:val="both"/>
        <w:rPr>
          <w:rFonts w:cstheme="minorHAnsi"/>
          <w:b/>
          <w:bCs/>
          <w:sz w:val="28"/>
          <w:szCs w:val="28"/>
        </w:rPr>
      </w:pPr>
      <w:r w:rsidRPr="00BA19EB">
        <w:rPr>
          <w:rFonts w:cstheme="minorHAnsi"/>
          <w:b/>
          <w:bCs/>
          <w:noProof/>
          <w:sz w:val="24"/>
          <w:szCs w:val="24"/>
        </w:rPr>
        <w:drawing>
          <wp:inline distT="0" distB="0" distL="0" distR="0" wp14:anchorId="737BF0AC" wp14:editId="74CCEC32">
            <wp:extent cx="1390650" cy="902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6459" cy="913199"/>
                    </a:xfrm>
                    <a:prstGeom prst="rect">
                      <a:avLst/>
                    </a:prstGeom>
                    <a:noFill/>
                    <a:ln>
                      <a:noFill/>
                    </a:ln>
                  </pic:spPr>
                </pic:pic>
              </a:graphicData>
            </a:graphic>
          </wp:inline>
        </w:drawing>
      </w:r>
      <w:r w:rsidRPr="00BA19EB">
        <w:rPr>
          <w:rFonts w:cstheme="minorHAnsi"/>
          <w:b/>
          <w:bCs/>
          <w:sz w:val="24"/>
          <w:szCs w:val="24"/>
        </w:rPr>
        <w:tab/>
      </w:r>
      <w:r w:rsidRPr="004A7D49">
        <w:rPr>
          <w:rFonts w:cstheme="minorHAnsi"/>
          <w:b/>
          <w:bCs/>
          <w:sz w:val="28"/>
          <w:szCs w:val="28"/>
        </w:rPr>
        <w:t>Policy and Procedure</w:t>
      </w:r>
    </w:p>
    <w:p w14:paraId="6BB3EF4C" w14:textId="77777777" w:rsidR="00623EF2" w:rsidRPr="00BA19EB" w:rsidRDefault="00623EF2" w:rsidP="00245B57">
      <w:pPr>
        <w:autoSpaceDE w:val="0"/>
        <w:autoSpaceDN w:val="0"/>
        <w:adjustRightInd w:val="0"/>
        <w:spacing w:after="0" w:line="240" w:lineRule="auto"/>
        <w:jc w:val="both"/>
        <w:rPr>
          <w:rFonts w:cstheme="minorHAnsi"/>
          <w:b/>
          <w:bCs/>
          <w:sz w:val="24"/>
          <w:szCs w:val="24"/>
        </w:rPr>
      </w:pPr>
      <w:r w:rsidRPr="00BA19EB">
        <w:rPr>
          <w:rFonts w:cstheme="minorHAnsi"/>
          <w:b/>
          <w:bCs/>
          <w:sz w:val="24"/>
          <w:szCs w:val="24"/>
        </w:rPr>
        <w:t>__________________________________________________________________________</w:t>
      </w:r>
    </w:p>
    <w:p w14:paraId="70F0177D" w14:textId="77777777" w:rsidR="00623EF2" w:rsidRPr="00BA19EB" w:rsidRDefault="00623EF2" w:rsidP="00245B57">
      <w:pPr>
        <w:tabs>
          <w:tab w:val="left" w:pos="2160"/>
        </w:tabs>
        <w:autoSpaceDE w:val="0"/>
        <w:autoSpaceDN w:val="0"/>
        <w:adjustRightInd w:val="0"/>
        <w:spacing w:before="240" w:after="0" w:line="240" w:lineRule="auto"/>
        <w:jc w:val="both"/>
        <w:rPr>
          <w:rFonts w:cstheme="minorHAnsi"/>
          <w:sz w:val="24"/>
          <w:szCs w:val="24"/>
        </w:rPr>
      </w:pPr>
      <w:r w:rsidRPr="00BA19EB">
        <w:rPr>
          <w:rFonts w:cstheme="minorHAnsi"/>
          <w:b/>
          <w:bCs/>
          <w:sz w:val="24"/>
          <w:szCs w:val="24"/>
        </w:rPr>
        <w:t xml:space="preserve">Subject: </w:t>
      </w:r>
      <w:r w:rsidR="00C800CF" w:rsidRPr="00BA19EB">
        <w:rPr>
          <w:rFonts w:cstheme="minorHAnsi"/>
          <w:b/>
          <w:bCs/>
          <w:sz w:val="24"/>
          <w:szCs w:val="24"/>
        </w:rPr>
        <w:tab/>
      </w:r>
      <w:r w:rsidR="00C800CF" w:rsidRPr="00BA19EB">
        <w:rPr>
          <w:rFonts w:cstheme="minorHAnsi"/>
          <w:sz w:val="24"/>
          <w:szCs w:val="24"/>
        </w:rPr>
        <w:t>Tuition Assistance</w:t>
      </w:r>
    </w:p>
    <w:p w14:paraId="45C2115E" w14:textId="77777777" w:rsidR="00623EF2" w:rsidRPr="00BA19EB" w:rsidRDefault="00623EF2" w:rsidP="00245B57">
      <w:pPr>
        <w:tabs>
          <w:tab w:val="left" w:pos="2160"/>
        </w:tabs>
        <w:autoSpaceDE w:val="0"/>
        <w:autoSpaceDN w:val="0"/>
        <w:adjustRightInd w:val="0"/>
        <w:spacing w:after="0" w:line="240" w:lineRule="auto"/>
        <w:jc w:val="both"/>
        <w:rPr>
          <w:rFonts w:cstheme="minorHAnsi"/>
          <w:sz w:val="24"/>
          <w:szCs w:val="24"/>
        </w:rPr>
      </w:pPr>
      <w:r w:rsidRPr="00BA19EB">
        <w:rPr>
          <w:rFonts w:cstheme="minorHAnsi"/>
          <w:b/>
          <w:bCs/>
          <w:sz w:val="24"/>
          <w:szCs w:val="24"/>
        </w:rPr>
        <w:t xml:space="preserve">Date: </w:t>
      </w:r>
      <w:r w:rsidR="00C800CF" w:rsidRPr="00BA19EB">
        <w:rPr>
          <w:rFonts w:cstheme="minorHAnsi"/>
          <w:b/>
          <w:bCs/>
          <w:sz w:val="24"/>
          <w:szCs w:val="24"/>
        </w:rPr>
        <w:tab/>
      </w:r>
      <w:r w:rsidRPr="00BA19EB">
        <w:rPr>
          <w:rFonts w:cstheme="minorHAnsi"/>
          <w:sz w:val="24"/>
          <w:szCs w:val="24"/>
        </w:rPr>
        <w:t>4/</w:t>
      </w:r>
      <w:r w:rsidR="00C800CF" w:rsidRPr="00BA19EB">
        <w:rPr>
          <w:rFonts w:cstheme="minorHAnsi"/>
          <w:sz w:val="24"/>
          <w:szCs w:val="24"/>
        </w:rPr>
        <w:t>1/2024</w:t>
      </w:r>
    </w:p>
    <w:p w14:paraId="41211FD6" w14:textId="77777777" w:rsidR="00623EF2" w:rsidRPr="00BA19EB" w:rsidRDefault="00623EF2" w:rsidP="00245B57">
      <w:pPr>
        <w:tabs>
          <w:tab w:val="left" w:pos="2160"/>
        </w:tabs>
        <w:autoSpaceDE w:val="0"/>
        <w:autoSpaceDN w:val="0"/>
        <w:adjustRightInd w:val="0"/>
        <w:spacing w:after="0" w:line="240" w:lineRule="auto"/>
        <w:jc w:val="both"/>
        <w:rPr>
          <w:rFonts w:cstheme="minorHAnsi"/>
          <w:sz w:val="24"/>
          <w:szCs w:val="24"/>
        </w:rPr>
      </w:pPr>
      <w:r w:rsidRPr="00BA19EB">
        <w:rPr>
          <w:rFonts w:cstheme="minorHAnsi"/>
          <w:b/>
          <w:bCs/>
          <w:sz w:val="24"/>
          <w:szCs w:val="24"/>
        </w:rPr>
        <w:t xml:space="preserve">Prepared By: </w:t>
      </w:r>
      <w:r w:rsidR="00C800CF" w:rsidRPr="00BA19EB">
        <w:rPr>
          <w:rFonts w:cstheme="minorHAnsi"/>
          <w:sz w:val="24"/>
          <w:szCs w:val="24"/>
        </w:rPr>
        <w:tab/>
        <w:t>Vivian Lee-Verzosa, Interim HR Director</w:t>
      </w:r>
    </w:p>
    <w:p w14:paraId="2ECF22AB" w14:textId="77777777" w:rsidR="00623EF2" w:rsidRPr="00BA19EB" w:rsidRDefault="00623EF2" w:rsidP="00245B57">
      <w:pPr>
        <w:tabs>
          <w:tab w:val="left" w:pos="2160"/>
        </w:tabs>
        <w:autoSpaceDE w:val="0"/>
        <w:autoSpaceDN w:val="0"/>
        <w:adjustRightInd w:val="0"/>
        <w:spacing w:after="0" w:line="240" w:lineRule="auto"/>
        <w:jc w:val="both"/>
        <w:rPr>
          <w:rFonts w:cstheme="minorHAnsi"/>
          <w:sz w:val="24"/>
          <w:szCs w:val="24"/>
        </w:rPr>
      </w:pPr>
      <w:r w:rsidRPr="00BA19EB">
        <w:rPr>
          <w:rFonts w:cstheme="minorHAnsi"/>
          <w:b/>
          <w:bCs/>
          <w:sz w:val="24"/>
          <w:szCs w:val="24"/>
        </w:rPr>
        <w:t xml:space="preserve">Revision Date: </w:t>
      </w:r>
      <w:r w:rsidR="00C800CF" w:rsidRPr="00BA19EB">
        <w:rPr>
          <w:rFonts w:cstheme="minorHAnsi"/>
          <w:b/>
          <w:bCs/>
          <w:sz w:val="24"/>
          <w:szCs w:val="24"/>
        </w:rPr>
        <w:tab/>
      </w:r>
      <w:r w:rsidRPr="00BA19EB">
        <w:rPr>
          <w:rFonts w:cstheme="minorHAnsi"/>
          <w:sz w:val="24"/>
          <w:szCs w:val="24"/>
        </w:rPr>
        <w:t>N/A</w:t>
      </w:r>
    </w:p>
    <w:p w14:paraId="5B71D05D" w14:textId="77777777" w:rsidR="00623EF2" w:rsidRPr="00BA19EB" w:rsidRDefault="00623EF2" w:rsidP="00245B57">
      <w:pPr>
        <w:tabs>
          <w:tab w:val="left" w:pos="2160"/>
        </w:tabs>
        <w:autoSpaceDE w:val="0"/>
        <w:autoSpaceDN w:val="0"/>
        <w:adjustRightInd w:val="0"/>
        <w:spacing w:after="0" w:line="240" w:lineRule="auto"/>
        <w:jc w:val="both"/>
        <w:rPr>
          <w:rFonts w:cstheme="minorHAnsi"/>
          <w:sz w:val="24"/>
          <w:szCs w:val="24"/>
        </w:rPr>
      </w:pPr>
      <w:r w:rsidRPr="00BA19EB">
        <w:rPr>
          <w:rFonts w:cstheme="minorHAnsi"/>
          <w:b/>
          <w:bCs/>
          <w:sz w:val="24"/>
          <w:szCs w:val="24"/>
        </w:rPr>
        <w:t xml:space="preserve">Revised by: </w:t>
      </w:r>
      <w:r w:rsidR="00C800CF" w:rsidRPr="00BA19EB">
        <w:rPr>
          <w:rFonts w:cstheme="minorHAnsi"/>
          <w:b/>
          <w:bCs/>
          <w:sz w:val="24"/>
          <w:szCs w:val="24"/>
        </w:rPr>
        <w:tab/>
      </w:r>
      <w:r w:rsidRPr="00BA19EB">
        <w:rPr>
          <w:rFonts w:cstheme="minorHAnsi"/>
          <w:sz w:val="24"/>
          <w:szCs w:val="24"/>
        </w:rPr>
        <w:t>N/A</w:t>
      </w:r>
    </w:p>
    <w:p w14:paraId="38535C3F" w14:textId="77777777" w:rsidR="00623EF2" w:rsidRPr="00BA19EB" w:rsidRDefault="00623EF2" w:rsidP="00245B57">
      <w:pPr>
        <w:tabs>
          <w:tab w:val="left" w:pos="2160"/>
        </w:tabs>
        <w:autoSpaceDE w:val="0"/>
        <w:autoSpaceDN w:val="0"/>
        <w:adjustRightInd w:val="0"/>
        <w:spacing w:line="240" w:lineRule="auto"/>
        <w:jc w:val="both"/>
        <w:rPr>
          <w:rFonts w:cstheme="minorHAnsi"/>
          <w:b/>
          <w:bCs/>
          <w:sz w:val="24"/>
          <w:szCs w:val="24"/>
        </w:rPr>
      </w:pPr>
      <w:r w:rsidRPr="00BA19EB">
        <w:rPr>
          <w:rFonts w:cstheme="minorHAnsi"/>
          <w:b/>
          <w:bCs/>
          <w:sz w:val="24"/>
          <w:szCs w:val="24"/>
        </w:rPr>
        <w:t xml:space="preserve">Attachments: </w:t>
      </w:r>
      <w:r w:rsidR="00C800CF" w:rsidRPr="00BA19EB">
        <w:rPr>
          <w:rFonts w:cstheme="minorHAnsi"/>
          <w:b/>
          <w:bCs/>
          <w:sz w:val="24"/>
          <w:szCs w:val="24"/>
        </w:rPr>
        <w:tab/>
      </w:r>
      <w:r w:rsidRPr="00BA19EB">
        <w:rPr>
          <w:rFonts w:cstheme="minorHAnsi"/>
          <w:sz w:val="24"/>
          <w:szCs w:val="24"/>
        </w:rPr>
        <w:t>N/A</w:t>
      </w:r>
      <w:r w:rsidR="00BA19EB">
        <w:rPr>
          <w:rFonts w:cstheme="minorHAnsi"/>
          <w:sz w:val="24"/>
          <w:szCs w:val="24"/>
        </w:rPr>
        <w:t xml:space="preserve"> </w:t>
      </w:r>
      <w:r w:rsidRPr="00BA19EB">
        <w:rPr>
          <w:rFonts w:cstheme="minorHAnsi"/>
          <w:b/>
          <w:bCs/>
          <w:sz w:val="24"/>
          <w:szCs w:val="24"/>
        </w:rPr>
        <w:t>____________________________________________________________________________</w:t>
      </w:r>
    </w:p>
    <w:p w14:paraId="7106BC45" w14:textId="77777777" w:rsidR="00C800CF" w:rsidRPr="00BA19EB" w:rsidRDefault="00623EF2" w:rsidP="00245B57">
      <w:pPr>
        <w:jc w:val="both"/>
        <w:rPr>
          <w:rFonts w:cstheme="minorHAnsi"/>
          <w:sz w:val="24"/>
          <w:szCs w:val="24"/>
        </w:rPr>
      </w:pPr>
      <w:r w:rsidRPr="00BA19EB">
        <w:rPr>
          <w:rFonts w:cstheme="minorHAnsi"/>
          <w:b/>
          <w:bCs/>
          <w:sz w:val="24"/>
          <w:szCs w:val="24"/>
        </w:rPr>
        <w:t xml:space="preserve">Policy Statement: </w:t>
      </w:r>
      <w:r w:rsidR="00C800CF" w:rsidRPr="00BA19EB">
        <w:rPr>
          <w:rFonts w:cstheme="minorHAnsi"/>
          <w:sz w:val="24"/>
          <w:szCs w:val="24"/>
        </w:rPr>
        <w:t>In order to encourage and support staff to improve or maintain competency in their current position or to pursue career development opportunities, EEDA shall reimburse eligible employees for a portion of their tuition expenses incurred by themselves in an approved educational program, subject to the limitations and conditions in this policy.</w:t>
      </w:r>
    </w:p>
    <w:p w14:paraId="2A7185AC" w14:textId="77777777" w:rsidR="00C800CF" w:rsidRPr="00BA19EB" w:rsidRDefault="00C800CF" w:rsidP="00245B57">
      <w:pPr>
        <w:widowControl w:val="0"/>
        <w:numPr>
          <w:ilvl w:val="0"/>
          <w:numId w:val="2"/>
        </w:numPr>
        <w:autoSpaceDE w:val="0"/>
        <w:autoSpaceDN w:val="0"/>
        <w:adjustRightInd w:val="0"/>
        <w:spacing w:line="240" w:lineRule="auto"/>
        <w:jc w:val="both"/>
        <w:rPr>
          <w:rFonts w:cstheme="minorHAnsi"/>
          <w:sz w:val="24"/>
          <w:szCs w:val="24"/>
        </w:rPr>
      </w:pPr>
      <w:r w:rsidRPr="00BA19EB">
        <w:rPr>
          <w:rFonts w:cstheme="minorHAnsi"/>
          <w:b/>
          <w:sz w:val="24"/>
          <w:szCs w:val="24"/>
        </w:rPr>
        <w:t>Eligibility</w:t>
      </w:r>
      <w:r w:rsidRPr="00BA19EB">
        <w:rPr>
          <w:rFonts w:cstheme="minorHAnsi"/>
          <w:sz w:val="24"/>
          <w:szCs w:val="24"/>
        </w:rPr>
        <w:t xml:space="preserve"> - All regular, full time employees (40 hours/week) who have completed one year of continuous employment and are not on a leave of absence. Any leave of absence or status working in a temporary, part-time, or per diem position will not be applied towards the required eligibility period. Self-Direction Support Professionals are not eligible for tuition reimbursement under this policy.</w:t>
      </w:r>
    </w:p>
    <w:p w14:paraId="6021F2D2" w14:textId="77777777" w:rsidR="00C800CF" w:rsidRPr="00BA19EB" w:rsidRDefault="00C800CF" w:rsidP="00245B57">
      <w:pPr>
        <w:widowControl w:val="0"/>
        <w:numPr>
          <w:ilvl w:val="0"/>
          <w:numId w:val="2"/>
        </w:numPr>
        <w:tabs>
          <w:tab w:val="left" w:pos="360"/>
        </w:tabs>
        <w:autoSpaceDE w:val="0"/>
        <w:autoSpaceDN w:val="0"/>
        <w:adjustRightInd w:val="0"/>
        <w:spacing w:line="240" w:lineRule="auto"/>
        <w:jc w:val="both"/>
        <w:rPr>
          <w:rFonts w:cstheme="minorHAnsi"/>
          <w:sz w:val="24"/>
          <w:szCs w:val="24"/>
        </w:rPr>
      </w:pPr>
      <w:r w:rsidRPr="00BA19EB">
        <w:rPr>
          <w:rFonts w:cstheme="minorHAnsi"/>
          <w:b/>
          <w:sz w:val="24"/>
          <w:szCs w:val="24"/>
        </w:rPr>
        <w:t xml:space="preserve">Terms for Tuition Assistance - </w:t>
      </w:r>
      <w:r w:rsidRPr="00BA19EB">
        <w:rPr>
          <w:rFonts w:cstheme="minorHAnsi"/>
          <w:sz w:val="24"/>
          <w:szCs w:val="24"/>
        </w:rPr>
        <w:t>Educational programs meeting the following requirements qualify for reimbursement under this policy:</w:t>
      </w:r>
    </w:p>
    <w:p w14:paraId="116D4C3E" w14:textId="77777777" w:rsidR="00C800CF" w:rsidRPr="00BA19EB" w:rsidRDefault="00C800CF" w:rsidP="00245B57">
      <w:pPr>
        <w:widowControl w:val="0"/>
        <w:numPr>
          <w:ilvl w:val="1"/>
          <w:numId w:val="2"/>
        </w:numPr>
        <w:autoSpaceDE w:val="0"/>
        <w:autoSpaceDN w:val="0"/>
        <w:adjustRightInd w:val="0"/>
        <w:spacing w:after="0" w:line="240" w:lineRule="auto"/>
        <w:ind w:left="1080"/>
        <w:jc w:val="both"/>
        <w:rPr>
          <w:rFonts w:cstheme="minorHAnsi"/>
          <w:sz w:val="24"/>
          <w:szCs w:val="24"/>
        </w:rPr>
      </w:pPr>
      <w:r w:rsidRPr="00BA19EB">
        <w:rPr>
          <w:rFonts w:cstheme="minorHAnsi"/>
          <w:sz w:val="24"/>
          <w:szCs w:val="24"/>
        </w:rPr>
        <w:t>Participating employees are limited to a maximum of twelve (12) course credits per calendar year.</w:t>
      </w:r>
    </w:p>
    <w:p w14:paraId="291293DB" w14:textId="77777777" w:rsidR="00C800CF" w:rsidRPr="00BA19EB" w:rsidRDefault="00C800CF" w:rsidP="00245B57">
      <w:pPr>
        <w:widowControl w:val="0"/>
        <w:numPr>
          <w:ilvl w:val="1"/>
          <w:numId w:val="2"/>
        </w:numPr>
        <w:autoSpaceDE w:val="0"/>
        <w:autoSpaceDN w:val="0"/>
        <w:adjustRightInd w:val="0"/>
        <w:spacing w:after="0" w:line="240" w:lineRule="auto"/>
        <w:ind w:left="1080"/>
        <w:jc w:val="both"/>
        <w:rPr>
          <w:rFonts w:cstheme="minorHAnsi"/>
          <w:sz w:val="24"/>
          <w:szCs w:val="24"/>
        </w:rPr>
      </w:pPr>
      <w:r w:rsidRPr="00BA19EB">
        <w:rPr>
          <w:rFonts w:cstheme="minorHAnsi"/>
          <w:sz w:val="24"/>
          <w:szCs w:val="24"/>
        </w:rPr>
        <w:t xml:space="preserve">Application for Tuition Assistance must be submitted and approved in writing by the Department Director, Human Resources, and the Executive Director (or his/her delegate) prior to the commencement of each course in order to be considered for reimbursement.   </w:t>
      </w:r>
    </w:p>
    <w:p w14:paraId="48BF0E47" w14:textId="77777777" w:rsidR="00C800CF" w:rsidRPr="00BA19EB" w:rsidRDefault="00C800CF" w:rsidP="00245B57">
      <w:pPr>
        <w:tabs>
          <w:tab w:val="left" w:pos="1080"/>
        </w:tabs>
        <w:ind w:left="1080" w:hanging="360"/>
        <w:jc w:val="both"/>
        <w:rPr>
          <w:rFonts w:cstheme="minorHAnsi"/>
          <w:sz w:val="24"/>
          <w:szCs w:val="24"/>
        </w:rPr>
      </w:pPr>
      <w:r w:rsidRPr="00BA19EB">
        <w:rPr>
          <w:rFonts w:cstheme="minorHAnsi"/>
          <w:sz w:val="24"/>
          <w:szCs w:val="24"/>
        </w:rPr>
        <w:t xml:space="preserve">c. </w:t>
      </w:r>
      <w:r w:rsidRPr="00BA19EB">
        <w:rPr>
          <w:rFonts w:cstheme="minorHAnsi"/>
          <w:sz w:val="24"/>
          <w:szCs w:val="24"/>
        </w:rPr>
        <w:tab/>
        <w:t>Course work and/or degree program must be directly related to the employee's current position or potential advancement within EEDA.</w:t>
      </w:r>
    </w:p>
    <w:p w14:paraId="64938BD6" w14:textId="77777777" w:rsidR="00C800CF" w:rsidRPr="00DD29F6" w:rsidRDefault="00C800CF" w:rsidP="00245B57">
      <w:pPr>
        <w:widowControl w:val="0"/>
        <w:numPr>
          <w:ilvl w:val="0"/>
          <w:numId w:val="2"/>
        </w:numPr>
        <w:tabs>
          <w:tab w:val="left" w:pos="720"/>
        </w:tabs>
        <w:autoSpaceDE w:val="0"/>
        <w:autoSpaceDN w:val="0"/>
        <w:adjustRightInd w:val="0"/>
        <w:spacing w:line="240" w:lineRule="auto"/>
        <w:jc w:val="both"/>
        <w:rPr>
          <w:rFonts w:cstheme="minorHAnsi"/>
          <w:sz w:val="24"/>
          <w:szCs w:val="24"/>
        </w:rPr>
      </w:pPr>
      <w:r w:rsidRPr="00DD29F6">
        <w:rPr>
          <w:rFonts w:cstheme="minorHAnsi"/>
          <w:b/>
          <w:sz w:val="24"/>
          <w:szCs w:val="24"/>
        </w:rPr>
        <w:t>Reimbursement</w:t>
      </w:r>
    </w:p>
    <w:p w14:paraId="0B688CFA" w14:textId="77777777" w:rsidR="00C800CF" w:rsidRPr="00BA19EB" w:rsidRDefault="00C800CF" w:rsidP="00245B57">
      <w:pPr>
        <w:widowControl w:val="0"/>
        <w:numPr>
          <w:ilvl w:val="1"/>
          <w:numId w:val="2"/>
        </w:numPr>
        <w:autoSpaceDE w:val="0"/>
        <w:autoSpaceDN w:val="0"/>
        <w:adjustRightInd w:val="0"/>
        <w:spacing w:after="0" w:line="240" w:lineRule="auto"/>
        <w:ind w:left="1080"/>
        <w:jc w:val="both"/>
        <w:rPr>
          <w:rFonts w:cstheme="minorHAnsi"/>
          <w:sz w:val="24"/>
          <w:szCs w:val="24"/>
        </w:rPr>
      </w:pPr>
      <w:r w:rsidRPr="00BA19EB">
        <w:rPr>
          <w:rFonts w:cstheme="minorHAnsi"/>
          <w:sz w:val="24"/>
          <w:szCs w:val="24"/>
        </w:rPr>
        <w:t>A grade of “B” or better must be achieved in each course in order to be eligible for reimbursement.  If a letter grade is not awarded, a letter from the professor on college letterhead must be provided indicating an equivalent letter grade.  If a certificate is awarded, a copy of the certificate must be provided to the Human Resources Department.</w:t>
      </w:r>
    </w:p>
    <w:p w14:paraId="44F50C71" w14:textId="77777777" w:rsidR="00C800CF" w:rsidRPr="00BA19EB" w:rsidRDefault="00C800CF" w:rsidP="00245B57">
      <w:pPr>
        <w:widowControl w:val="0"/>
        <w:numPr>
          <w:ilvl w:val="0"/>
          <w:numId w:val="3"/>
        </w:numPr>
        <w:tabs>
          <w:tab w:val="left" w:pos="1080"/>
        </w:tabs>
        <w:autoSpaceDE w:val="0"/>
        <w:autoSpaceDN w:val="0"/>
        <w:adjustRightInd w:val="0"/>
        <w:spacing w:after="0" w:line="240" w:lineRule="auto"/>
        <w:ind w:left="1080"/>
        <w:jc w:val="both"/>
        <w:rPr>
          <w:rFonts w:cstheme="minorHAnsi"/>
          <w:sz w:val="24"/>
          <w:szCs w:val="24"/>
        </w:rPr>
      </w:pPr>
      <w:r w:rsidRPr="00BA19EB">
        <w:rPr>
          <w:rFonts w:cstheme="minorHAnsi"/>
          <w:sz w:val="24"/>
          <w:szCs w:val="24"/>
        </w:rPr>
        <w:t xml:space="preserve">An itemized bill from the bursar's office and a final grade notice must be submitted to the Human Resources Department within 90 days from course completion to be </w:t>
      </w:r>
      <w:r w:rsidRPr="00BA19EB">
        <w:rPr>
          <w:rFonts w:cstheme="minorHAnsi"/>
          <w:sz w:val="24"/>
          <w:szCs w:val="24"/>
        </w:rPr>
        <w:lastRenderedPageBreak/>
        <w:t xml:space="preserve">eligible for reimbursement. If an award or loan has been applied to the cost, it must be reflected on the itemized bill, or accompany it.  </w:t>
      </w:r>
    </w:p>
    <w:p w14:paraId="07EB18AE" w14:textId="77777777" w:rsidR="00C800CF" w:rsidRPr="00BA19EB" w:rsidRDefault="00C800CF" w:rsidP="00245B57">
      <w:pPr>
        <w:widowControl w:val="0"/>
        <w:numPr>
          <w:ilvl w:val="0"/>
          <w:numId w:val="3"/>
        </w:numPr>
        <w:tabs>
          <w:tab w:val="left" w:pos="1080"/>
        </w:tabs>
        <w:autoSpaceDE w:val="0"/>
        <w:autoSpaceDN w:val="0"/>
        <w:adjustRightInd w:val="0"/>
        <w:spacing w:after="0" w:line="240" w:lineRule="auto"/>
        <w:ind w:left="1080"/>
        <w:jc w:val="both"/>
        <w:rPr>
          <w:rFonts w:cstheme="minorHAnsi"/>
          <w:sz w:val="24"/>
          <w:szCs w:val="24"/>
        </w:rPr>
      </w:pPr>
      <w:r w:rsidRPr="00BA19EB">
        <w:rPr>
          <w:rFonts w:cstheme="minorHAnsi"/>
          <w:sz w:val="24"/>
          <w:szCs w:val="24"/>
        </w:rPr>
        <w:t xml:space="preserve">Upon completion of each course and acceptance by the Human Resources Department of the above, eligible employees will be reimbursed for tuition total owed by the employee of the approved course work. </w:t>
      </w:r>
    </w:p>
    <w:p w14:paraId="611E8594" w14:textId="77777777" w:rsidR="00C800CF" w:rsidRPr="00BA19EB" w:rsidRDefault="00C800CF" w:rsidP="00245B57">
      <w:pPr>
        <w:widowControl w:val="0"/>
        <w:numPr>
          <w:ilvl w:val="0"/>
          <w:numId w:val="3"/>
        </w:numPr>
        <w:tabs>
          <w:tab w:val="left" w:pos="1080"/>
        </w:tabs>
        <w:autoSpaceDE w:val="0"/>
        <w:autoSpaceDN w:val="0"/>
        <w:adjustRightInd w:val="0"/>
        <w:spacing w:after="0" w:line="240" w:lineRule="auto"/>
        <w:ind w:left="1080"/>
        <w:jc w:val="both"/>
        <w:rPr>
          <w:rFonts w:cstheme="minorHAnsi"/>
          <w:sz w:val="24"/>
          <w:szCs w:val="24"/>
        </w:rPr>
      </w:pPr>
      <w:r w:rsidRPr="00BA19EB">
        <w:rPr>
          <w:rFonts w:cstheme="minorHAnsi"/>
          <w:sz w:val="24"/>
          <w:szCs w:val="24"/>
        </w:rPr>
        <w:t>There is a cap of $5,000 tuition reimbursement per calendar year. The tuition reimbursement amount is discretionary and is subject to the annual approval by management.</w:t>
      </w:r>
    </w:p>
    <w:p w14:paraId="6AF76BB6" w14:textId="77777777" w:rsidR="00C800CF" w:rsidRPr="00BA19EB" w:rsidRDefault="00C800CF" w:rsidP="00245B57">
      <w:pPr>
        <w:tabs>
          <w:tab w:val="left" w:pos="1080"/>
        </w:tabs>
        <w:ind w:left="1080" w:hanging="360"/>
        <w:jc w:val="both"/>
        <w:rPr>
          <w:rFonts w:cstheme="minorHAnsi"/>
          <w:sz w:val="24"/>
          <w:szCs w:val="24"/>
        </w:rPr>
      </w:pPr>
      <w:r w:rsidRPr="00BA19EB">
        <w:rPr>
          <w:rFonts w:cstheme="minorHAnsi"/>
          <w:sz w:val="24"/>
          <w:szCs w:val="24"/>
        </w:rPr>
        <w:t xml:space="preserve">e. </w:t>
      </w:r>
      <w:r w:rsidRPr="00BA19EB">
        <w:rPr>
          <w:rFonts w:cstheme="minorHAnsi"/>
          <w:sz w:val="24"/>
          <w:szCs w:val="24"/>
        </w:rPr>
        <w:tab/>
        <w:t>Examples of expenses that will not be eligible for reimbursement include but are not limited to:</w:t>
      </w:r>
    </w:p>
    <w:p w14:paraId="30EC0301" w14:textId="77777777" w:rsidR="00C800CF" w:rsidRPr="00BA19EB" w:rsidRDefault="00C800CF" w:rsidP="00245B57">
      <w:pPr>
        <w:widowControl w:val="0"/>
        <w:numPr>
          <w:ilvl w:val="0"/>
          <w:numId w:val="1"/>
        </w:numPr>
        <w:autoSpaceDE w:val="0"/>
        <w:autoSpaceDN w:val="0"/>
        <w:adjustRightInd w:val="0"/>
        <w:spacing w:after="0" w:line="240" w:lineRule="auto"/>
        <w:ind w:left="1800"/>
        <w:jc w:val="both"/>
        <w:rPr>
          <w:rFonts w:cstheme="minorHAnsi"/>
          <w:sz w:val="24"/>
          <w:szCs w:val="24"/>
        </w:rPr>
      </w:pPr>
      <w:r w:rsidRPr="00BA19EB">
        <w:rPr>
          <w:rFonts w:cstheme="minorHAnsi"/>
          <w:sz w:val="24"/>
          <w:szCs w:val="24"/>
        </w:rPr>
        <w:t>Student Activity Fees</w:t>
      </w:r>
    </w:p>
    <w:p w14:paraId="693C07C4" w14:textId="77777777" w:rsidR="00C800CF" w:rsidRPr="00BA19EB" w:rsidRDefault="00C800CF" w:rsidP="00245B57">
      <w:pPr>
        <w:widowControl w:val="0"/>
        <w:numPr>
          <w:ilvl w:val="0"/>
          <w:numId w:val="1"/>
        </w:numPr>
        <w:autoSpaceDE w:val="0"/>
        <w:autoSpaceDN w:val="0"/>
        <w:adjustRightInd w:val="0"/>
        <w:spacing w:after="0" w:line="240" w:lineRule="auto"/>
        <w:ind w:left="1800"/>
        <w:jc w:val="both"/>
        <w:rPr>
          <w:rFonts w:cstheme="minorHAnsi"/>
          <w:sz w:val="24"/>
          <w:szCs w:val="24"/>
        </w:rPr>
      </w:pPr>
      <w:r w:rsidRPr="00BA19EB">
        <w:rPr>
          <w:rFonts w:cstheme="minorHAnsi"/>
          <w:sz w:val="24"/>
          <w:szCs w:val="24"/>
        </w:rPr>
        <w:t>Health/Insurance Related Fees</w:t>
      </w:r>
    </w:p>
    <w:p w14:paraId="3F02D234" w14:textId="77777777" w:rsidR="00C800CF" w:rsidRPr="00BA19EB" w:rsidRDefault="00C800CF" w:rsidP="00245B57">
      <w:pPr>
        <w:widowControl w:val="0"/>
        <w:numPr>
          <w:ilvl w:val="0"/>
          <w:numId w:val="1"/>
        </w:numPr>
        <w:autoSpaceDE w:val="0"/>
        <w:autoSpaceDN w:val="0"/>
        <w:adjustRightInd w:val="0"/>
        <w:spacing w:after="0" w:line="240" w:lineRule="auto"/>
        <w:ind w:left="1800"/>
        <w:jc w:val="both"/>
        <w:rPr>
          <w:rFonts w:cstheme="minorHAnsi"/>
          <w:sz w:val="24"/>
          <w:szCs w:val="24"/>
        </w:rPr>
      </w:pPr>
      <w:r w:rsidRPr="00BA19EB">
        <w:rPr>
          <w:rFonts w:cstheme="minorHAnsi"/>
          <w:sz w:val="24"/>
          <w:szCs w:val="24"/>
        </w:rPr>
        <w:t>Parking/Transportation Expenses</w:t>
      </w:r>
    </w:p>
    <w:p w14:paraId="6A46F339" w14:textId="77777777" w:rsidR="00C800CF" w:rsidRPr="00BA19EB" w:rsidRDefault="00C800CF" w:rsidP="00245B57">
      <w:pPr>
        <w:widowControl w:val="0"/>
        <w:numPr>
          <w:ilvl w:val="0"/>
          <w:numId w:val="1"/>
        </w:numPr>
        <w:autoSpaceDE w:val="0"/>
        <w:autoSpaceDN w:val="0"/>
        <w:adjustRightInd w:val="0"/>
        <w:spacing w:after="0" w:line="240" w:lineRule="auto"/>
        <w:ind w:left="1800"/>
        <w:jc w:val="both"/>
        <w:rPr>
          <w:rFonts w:cstheme="minorHAnsi"/>
          <w:sz w:val="24"/>
          <w:szCs w:val="24"/>
        </w:rPr>
      </w:pPr>
      <w:r w:rsidRPr="00BA19EB">
        <w:rPr>
          <w:rFonts w:cstheme="minorHAnsi"/>
          <w:sz w:val="24"/>
          <w:szCs w:val="24"/>
        </w:rPr>
        <w:t>Technology Fees</w:t>
      </w:r>
    </w:p>
    <w:p w14:paraId="3EEDC5D9" w14:textId="77777777" w:rsidR="00C800CF" w:rsidRPr="00BA19EB" w:rsidRDefault="00C800CF" w:rsidP="00245B57">
      <w:pPr>
        <w:widowControl w:val="0"/>
        <w:numPr>
          <w:ilvl w:val="0"/>
          <w:numId w:val="1"/>
        </w:numPr>
        <w:autoSpaceDE w:val="0"/>
        <w:autoSpaceDN w:val="0"/>
        <w:adjustRightInd w:val="0"/>
        <w:spacing w:after="0" w:line="240" w:lineRule="auto"/>
        <w:ind w:left="1800"/>
        <w:jc w:val="both"/>
        <w:rPr>
          <w:rFonts w:cstheme="minorHAnsi"/>
          <w:sz w:val="24"/>
          <w:szCs w:val="24"/>
        </w:rPr>
      </w:pPr>
      <w:r w:rsidRPr="00BA19EB">
        <w:rPr>
          <w:rFonts w:cstheme="minorHAnsi"/>
          <w:sz w:val="24"/>
          <w:szCs w:val="24"/>
        </w:rPr>
        <w:t>Books and Materials</w:t>
      </w:r>
    </w:p>
    <w:p w14:paraId="42CBDE23" w14:textId="77777777" w:rsidR="00C800CF" w:rsidRPr="00BA19EB" w:rsidRDefault="00C800CF" w:rsidP="00245B57">
      <w:pPr>
        <w:widowControl w:val="0"/>
        <w:numPr>
          <w:ilvl w:val="0"/>
          <w:numId w:val="1"/>
        </w:numPr>
        <w:autoSpaceDE w:val="0"/>
        <w:autoSpaceDN w:val="0"/>
        <w:adjustRightInd w:val="0"/>
        <w:spacing w:after="0" w:line="240" w:lineRule="auto"/>
        <w:ind w:left="1800"/>
        <w:jc w:val="both"/>
        <w:rPr>
          <w:rFonts w:cstheme="minorHAnsi"/>
          <w:sz w:val="24"/>
          <w:szCs w:val="24"/>
        </w:rPr>
      </w:pPr>
      <w:r w:rsidRPr="00BA19EB">
        <w:rPr>
          <w:rFonts w:cstheme="minorHAnsi"/>
          <w:sz w:val="24"/>
          <w:szCs w:val="24"/>
        </w:rPr>
        <w:t>Room &amp; Board</w:t>
      </w:r>
    </w:p>
    <w:p w14:paraId="2215C96C" w14:textId="77777777" w:rsidR="00C800CF" w:rsidRPr="00BA19EB" w:rsidRDefault="00C800CF" w:rsidP="00245B57">
      <w:pPr>
        <w:spacing w:after="0"/>
        <w:ind w:left="720"/>
        <w:jc w:val="both"/>
        <w:rPr>
          <w:rFonts w:cstheme="minorHAnsi"/>
          <w:sz w:val="24"/>
          <w:szCs w:val="24"/>
        </w:rPr>
      </w:pPr>
    </w:p>
    <w:p w14:paraId="38DCEC82" w14:textId="77777777" w:rsidR="00C800CF" w:rsidRPr="00BA19EB" w:rsidRDefault="00C800CF" w:rsidP="00245B57">
      <w:pPr>
        <w:jc w:val="both"/>
        <w:rPr>
          <w:rFonts w:cstheme="minorHAnsi"/>
          <w:b/>
          <w:bCs/>
          <w:sz w:val="24"/>
          <w:szCs w:val="24"/>
          <w:u w:val="single"/>
        </w:rPr>
      </w:pPr>
      <w:r w:rsidRPr="00BA19EB">
        <w:rPr>
          <w:rFonts w:cstheme="minorHAnsi"/>
          <w:b/>
          <w:bCs/>
          <w:sz w:val="24"/>
          <w:szCs w:val="24"/>
          <w:u w:val="single"/>
        </w:rPr>
        <w:t>Procedures</w:t>
      </w:r>
    </w:p>
    <w:p w14:paraId="0E69FA84" w14:textId="77777777" w:rsidR="00C800CF" w:rsidRPr="00BA19EB" w:rsidRDefault="00C800CF" w:rsidP="00245B57">
      <w:pPr>
        <w:widowControl w:val="0"/>
        <w:numPr>
          <w:ilvl w:val="0"/>
          <w:numId w:val="4"/>
        </w:numPr>
        <w:autoSpaceDE w:val="0"/>
        <w:autoSpaceDN w:val="0"/>
        <w:adjustRightInd w:val="0"/>
        <w:spacing w:after="0" w:line="240" w:lineRule="auto"/>
        <w:jc w:val="both"/>
        <w:rPr>
          <w:rFonts w:cstheme="minorHAnsi"/>
          <w:sz w:val="24"/>
          <w:szCs w:val="24"/>
        </w:rPr>
      </w:pPr>
      <w:r w:rsidRPr="00BA19EB">
        <w:rPr>
          <w:rFonts w:cstheme="minorHAnsi"/>
          <w:sz w:val="24"/>
          <w:szCs w:val="24"/>
        </w:rPr>
        <w:t xml:space="preserve">Applications may be obtained from the Human Resources Department.  Completed applications must be submitted to the Human Resources Department </w:t>
      </w:r>
      <w:r w:rsidRPr="00BA19EB">
        <w:rPr>
          <w:rFonts w:cstheme="minorHAnsi"/>
          <w:b/>
          <w:sz w:val="24"/>
          <w:szCs w:val="24"/>
          <w:u w:val="single"/>
        </w:rPr>
        <w:t>in advance</w:t>
      </w:r>
      <w:r w:rsidRPr="00BA19EB">
        <w:rPr>
          <w:rFonts w:cstheme="minorHAnsi"/>
          <w:sz w:val="24"/>
          <w:szCs w:val="24"/>
        </w:rPr>
        <w:t xml:space="preserve"> of the start of all courses to be considered for reimbursement.  </w:t>
      </w:r>
    </w:p>
    <w:p w14:paraId="12BC51C7" w14:textId="77777777" w:rsidR="00C800CF" w:rsidRPr="00BA19EB" w:rsidRDefault="00C800CF" w:rsidP="00245B57">
      <w:pPr>
        <w:widowControl w:val="0"/>
        <w:numPr>
          <w:ilvl w:val="0"/>
          <w:numId w:val="4"/>
        </w:numPr>
        <w:autoSpaceDE w:val="0"/>
        <w:autoSpaceDN w:val="0"/>
        <w:adjustRightInd w:val="0"/>
        <w:spacing w:after="0" w:line="240" w:lineRule="auto"/>
        <w:jc w:val="both"/>
        <w:rPr>
          <w:rFonts w:cstheme="minorHAnsi"/>
          <w:sz w:val="24"/>
          <w:szCs w:val="24"/>
        </w:rPr>
      </w:pPr>
      <w:r w:rsidRPr="00BA19EB">
        <w:rPr>
          <w:rFonts w:cstheme="minorHAnsi"/>
          <w:sz w:val="24"/>
          <w:szCs w:val="24"/>
        </w:rPr>
        <w:t xml:space="preserve">The Department Director, Human Resources, and Executive Director will review all applications for approval or rejection.  </w:t>
      </w:r>
    </w:p>
    <w:p w14:paraId="5D99FF21" w14:textId="77777777" w:rsidR="00C800CF" w:rsidRPr="00BA19EB" w:rsidRDefault="00C800CF" w:rsidP="00245B57">
      <w:pPr>
        <w:widowControl w:val="0"/>
        <w:numPr>
          <w:ilvl w:val="0"/>
          <w:numId w:val="4"/>
        </w:numPr>
        <w:autoSpaceDE w:val="0"/>
        <w:autoSpaceDN w:val="0"/>
        <w:adjustRightInd w:val="0"/>
        <w:spacing w:after="0" w:line="240" w:lineRule="auto"/>
        <w:jc w:val="both"/>
        <w:rPr>
          <w:rFonts w:cstheme="minorHAnsi"/>
          <w:sz w:val="24"/>
          <w:szCs w:val="24"/>
        </w:rPr>
      </w:pPr>
      <w:r w:rsidRPr="00BA19EB">
        <w:rPr>
          <w:rFonts w:cstheme="minorHAnsi"/>
          <w:sz w:val="24"/>
          <w:szCs w:val="24"/>
        </w:rPr>
        <w:t>The employee will be required to pay for the course, and upon satisfactory completion of the course, the employee will provide a copy of the grades, itemized bill and proof of payment for the course.</w:t>
      </w:r>
    </w:p>
    <w:p w14:paraId="77DD8BE5" w14:textId="77777777" w:rsidR="00C800CF" w:rsidRPr="00BA19EB" w:rsidRDefault="00C800CF" w:rsidP="00245B57">
      <w:pPr>
        <w:widowControl w:val="0"/>
        <w:numPr>
          <w:ilvl w:val="0"/>
          <w:numId w:val="4"/>
        </w:numPr>
        <w:autoSpaceDE w:val="0"/>
        <w:autoSpaceDN w:val="0"/>
        <w:adjustRightInd w:val="0"/>
        <w:spacing w:after="0" w:line="240" w:lineRule="auto"/>
        <w:jc w:val="both"/>
        <w:rPr>
          <w:rFonts w:cstheme="minorHAnsi"/>
          <w:sz w:val="24"/>
          <w:szCs w:val="24"/>
        </w:rPr>
      </w:pPr>
      <w:r w:rsidRPr="00BA19EB">
        <w:rPr>
          <w:rFonts w:cstheme="minorHAnsi"/>
          <w:sz w:val="24"/>
          <w:szCs w:val="24"/>
        </w:rPr>
        <w:t>The Human Resources department will prepare a check requisition for reimbursement. Reimbursement will not be made to an employee who separates from employment or is no longer a regular, full-time employee.</w:t>
      </w:r>
    </w:p>
    <w:p w14:paraId="094CDA83" w14:textId="77777777" w:rsidR="00C800CF" w:rsidRPr="00BA19EB" w:rsidRDefault="00C800CF" w:rsidP="00245B57">
      <w:pPr>
        <w:widowControl w:val="0"/>
        <w:numPr>
          <w:ilvl w:val="0"/>
          <w:numId w:val="4"/>
        </w:numPr>
        <w:autoSpaceDE w:val="0"/>
        <w:autoSpaceDN w:val="0"/>
        <w:adjustRightInd w:val="0"/>
        <w:spacing w:after="0" w:line="240" w:lineRule="auto"/>
        <w:jc w:val="both"/>
        <w:rPr>
          <w:rFonts w:cstheme="minorHAnsi"/>
          <w:sz w:val="24"/>
          <w:szCs w:val="24"/>
        </w:rPr>
      </w:pPr>
      <w:r w:rsidRPr="00BA19EB">
        <w:rPr>
          <w:rFonts w:cstheme="minorHAnsi"/>
          <w:sz w:val="24"/>
          <w:szCs w:val="24"/>
        </w:rPr>
        <w:t>Employees receiving any grant, aid, or scholarship will receive only the differential between such monies and the reimbursable costs.</w:t>
      </w:r>
    </w:p>
    <w:p w14:paraId="6467930D" w14:textId="77777777" w:rsidR="00C800CF" w:rsidRPr="00BA19EB" w:rsidRDefault="00C800CF" w:rsidP="00245B57">
      <w:pPr>
        <w:spacing w:after="0"/>
        <w:jc w:val="both"/>
        <w:rPr>
          <w:rFonts w:cstheme="minorHAnsi"/>
          <w:sz w:val="24"/>
          <w:szCs w:val="24"/>
        </w:rPr>
      </w:pPr>
    </w:p>
    <w:p w14:paraId="74815427" w14:textId="77777777" w:rsidR="00C800CF" w:rsidRPr="00BA19EB" w:rsidRDefault="00C800CF" w:rsidP="00245B57">
      <w:pPr>
        <w:jc w:val="both"/>
        <w:rPr>
          <w:rFonts w:cstheme="minorHAnsi"/>
          <w:b/>
          <w:bCs/>
          <w:sz w:val="24"/>
          <w:szCs w:val="24"/>
          <w:u w:val="single"/>
        </w:rPr>
      </w:pPr>
      <w:r w:rsidRPr="00BA19EB">
        <w:rPr>
          <w:rFonts w:cstheme="minorHAnsi"/>
          <w:b/>
          <w:bCs/>
          <w:sz w:val="24"/>
          <w:szCs w:val="24"/>
          <w:u w:val="single"/>
        </w:rPr>
        <w:t>Repayment</w:t>
      </w:r>
    </w:p>
    <w:p w14:paraId="208654BB" w14:textId="77777777" w:rsidR="00C800CF" w:rsidRPr="00BA19EB" w:rsidRDefault="00C800CF" w:rsidP="00245B57">
      <w:pPr>
        <w:spacing w:after="0"/>
        <w:jc w:val="both"/>
        <w:rPr>
          <w:rFonts w:cstheme="minorHAnsi"/>
          <w:sz w:val="24"/>
          <w:szCs w:val="24"/>
        </w:rPr>
      </w:pPr>
      <w:r w:rsidRPr="00BA19EB">
        <w:rPr>
          <w:rFonts w:cstheme="minorHAnsi"/>
          <w:sz w:val="24"/>
          <w:szCs w:val="24"/>
        </w:rPr>
        <w:t xml:space="preserve">Employees must agree to continue full-time employment with EEDA for twenty-four (24) months beyond the completion of the courses to be relieved of any financial obligation for reimbursements received.  Employees that leave or change their status prior to the twenty-four (24) month period will be subject to </w:t>
      </w:r>
      <w:proofErr w:type="gramStart"/>
      <w:r w:rsidRPr="00BA19EB">
        <w:rPr>
          <w:rFonts w:cstheme="minorHAnsi"/>
          <w:sz w:val="24"/>
          <w:szCs w:val="24"/>
        </w:rPr>
        <w:t>reimburse</w:t>
      </w:r>
      <w:proofErr w:type="gramEnd"/>
      <w:r w:rsidRPr="00BA19EB">
        <w:rPr>
          <w:rFonts w:cstheme="minorHAnsi"/>
          <w:sz w:val="24"/>
          <w:szCs w:val="24"/>
        </w:rPr>
        <w:t xml:space="preserve"> EEDA.</w:t>
      </w:r>
    </w:p>
    <w:p w14:paraId="3FC671D2" w14:textId="56EE6082" w:rsidR="003666DF" w:rsidRPr="000F266B" w:rsidRDefault="003666DF" w:rsidP="00245B57">
      <w:pPr>
        <w:tabs>
          <w:tab w:val="left" w:pos="5040"/>
          <w:tab w:val="left" w:pos="5760"/>
          <w:tab w:val="left" w:pos="7920"/>
        </w:tabs>
        <w:autoSpaceDE w:val="0"/>
        <w:autoSpaceDN w:val="0"/>
        <w:adjustRightInd w:val="0"/>
        <w:spacing w:after="0" w:line="240" w:lineRule="auto"/>
        <w:jc w:val="both"/>
        <w:rPr>
          <w:rFonts w:cstheme="minorHAnsi"/>
          <w:bCs/>
          <w:sz w:val="24"/>
          <w:szCs w:val="24"/>
          <w:u w:val="single"/>
        </w:rPr>
      </w:pPr>
    </w:p>
    <w:p w14:paraId="3B096BDE" w14:textId="4A164948" w:rsidR="00623EF2" w:rsidRPr="003666DF" w:rsidRDefault="00623EF2" w:rsidP="00245B57">
      <w:pPr>
        <w:tabs>
          <w:tab w:val="left" w:pos="4320"/>
        </w:tabs>
        <w:autoSpaceDE w:val="0"/>
        <w:autoSpaceDN w:val="0"/>
        <w:adjustRightInd w:val="0"/>
        <w:spacing w:after="0" w:line="240" w:lineRule="auto"/>
        <w:jc w:val="both"/>
        <w:rPr>
          <w:rFonts w:cstheme="minorHAnsi"/>
          <w:bCs/>
          <w:sz w:val="24"/>
          <w:szCs w:val="24"/>
        </w:rPr>
      </w:pPr>
    </w:p>
    <w:sectPr w:rsidR="00623EF2" w:rsidRPr="003666DF" w:rsidSect="003666D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7B28"/>
    <w:multiLevelType w:val="hybridMultilevel"/>
    <w:tmpl w:val="2E90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B7B3F"/>
    <w:multiLevelType w:val="hybridMultilevel"/>
    <w:tmpl w:val="16CC0E34"/>
    <w:lvl w:ilvl="0" w:tplc="806884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D18BC"/>
    <w:multiLevelType w:val="hybridMultilevel"/>
    <w:tmpl w:val="449802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E6401"/>
    <w:multiLevelType w:val="hybridMultilevel"/>
    <w:tmpl w:val="9AC6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3003594">
    <w:abstractNumId w:val="3"/>
  </w:num>
  <w:num w:numId="2" w16cid:durableId="1283807439">
    <w:abstractNumId w:val="1"/>
  </w:num>
  <w:num w:numId="3" w16cid:durableId="92212483">
    <w:abstractNumId w:val="2"/>
  </w:num>
  <w:num w:numId="4" w16cid:durableId="197667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F2"/>
    <w:rsid w:val="000F266B"/>
    <w:rsid w:val="00245B57"/>
    <w:rsid w:val="003666DF"/>
    <w:rsid w:val="004A7D49"/>
    <w:rsid w:val="00586E10"/>
    <w:rsid w:val="00623EF2"/>
    <w:rsid w:val="00821C54"/>
    <w:rsid w:val="00862156"/>
    <w:rsid w:val="0087725C"/>
    <w:rsid w:val="009A5B54"/>
    <w:rsid w:val="00AF1C66"/>
    <w:rsid w:val="00B9281B"/>
    <w:rsid w:val="00BA19EB"/>
    <w:rsid w:val="00C800CF"/>
    <w:rsid w:val="00DD29F6"/>
    <w:rsid w:val="00E9651E"/>
    <w:rsid w:val="00F5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FA7C"/>
  <w15:chartTrackingRefBased/>
  <w15:docId w15:val="{4D622A25-A6DB-4F38-996A-394FB477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IGHL</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Lee Verzosa</dc:creator>
  <cp:keywords/>
  <dc:description/>
  <cp:lastModifiedBy>Joy O'Shaughnessy</cp:lastModifiedBy>
  <cp:revision>2</cp:revision>
  <dcterms:created xsi:type="dcterms:W3CDTF">2024-03-14T12:44:00Z</dcterms:created>
  <dcterms:modified xsi:type="dcterms:W3CDTF">2024-03-14T12:44:00Z</dcterms:modified>
</cp:coreProperties>
</file>